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54"/>
        <w:jc w:val="center"/>
        <w:rPr>
          <w:rFonts w:hint="default" w:ascii="微软雅黑" w:hAnsi="微软雅黑" w:eastAsia="微软雅黑" w:cs="Tahoma"/>
          <w:b/>
          <w:color w:val="3D3D3D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  <w:lang w:val="en-US" w:eastAsia="zh-CN"/>
        </w:rPr>
        <w:t>20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</w:rPr>
        <w:t>年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  <w:lang w:val="en-US" w:eastAsia="zh-CN"/>
        </w:rPr>
        <w:t>7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</w:rPr>
        <w:t>月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  <w:lang w:val="en-US" w:eastAsia="zh-CN"/>
        </w:rPr>
        <w:t>中国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</w:rPr>
        <w:t>房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  <w:lang w:val="en-US" w:eastAsia="zh-CN"/>
        </w:rPr>
        <w:t>地产价格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</w:rPr>
        <w:t>指数</w:t>
      </w:r>
      <w:r>
        <w:rPr>
          <w:rFonts w:hint="eastAsia" w:ascii="微软雅黑" w:hAnsi="微软雅黑" w:eastAsia="微软雅黑" w:cs="Tahoma"/>
          <w:b/>
          <w:color w:val="3D3D3D"/>
          <w:kern w:val="0"/>
          <w:sz w:val="28"/>
          <w:szCs w:val="28"/>
          <w:lang w:val="en-US" w:eastAsia="zh-CN"/>
        </w:rPr>
        <w:t>统计报告</w:t>
      </w:r>
    </w:p>
    <w:p>
      <w:pPr>
        <w:widowControl/>
        <w:shd w:val="clear" w:color="auto" w:fill="FFFFFF"/>
        <w:ind w:firstLine="54"/>
        <w:jc w:val="left"/>
        <w:rPr>
          <w:rFonts w:hint="default" w:ascii="微软雅黑" w:hAnsi="微软雅黑" w:eastAsia="微软雅黑" w:cs="微软雅黑"/>
          <w:b w:val="0"/>
          <w:bCs/>
          <w:color w:val="auto"/>
          <w:kern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1"/>
          <w:szCs w:val="21"/>
        </w:rPr>
        <w:t>、</w:t>
      </w:r>
      <w:r>
        <w:rPr>
          <w:rFonts w:hint="eastAsia" w:ascii="微软雅黑" w:hAnsi="微软雅黑" w:eastAsia="微软雅黑" w:cs="微软雅黑"/>
          <w:b/>
          <w:color w:val="auto"/>
          <w:kern w:val="0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1"/>
          <w:szCs w:val="21"/>
          <w:lang w:val="en-US" w:eastAsia="zh-CN"/>
        </w:rPr>
        <w:t>月份各大区域中，除环渤海湾大湾区环比上月呈下跌趋势，其余四大区域均呈上涨趋势，其中粤港澳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1"/>
          <w:szCs w:val="21"/>
          <w:u w:val="none"/>
          <w:lang w:val="en-US" w:eastAsia="zh-CN" w:bidi="ar"/>
        </w:rPr>
        <w:t>大湾区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1"/>
          <w:szCs w:val="21"/>
          <w:lang w:val="en-US" w:eastAsia="zh-CN"/>
        </w:rPr>
        <w:t>环比上涨幅度最大均为1.52%，其次为环杭州湾大湾区和长三角超级湾区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涨</w:t>
      </w:r>
      <w:r>
        <w:rPr>
          <w:rFonts w:hint="eastAsia" w:ascii="微软雅黑" w:hAnsi="微软雅黑" w:eastAsia="微软雅黑" w:cs="微软雅黑"/>
          <w:b w:val="0"/>
          <w:bCs/>
          <w:color w:val="auto"/>
          <w:kern w:val="0"/>
          <w:sz w:val="21"/>
          <w:szCs w:val="21"/>
          <w:lang w:val="en-US" w:eastAsia="zh-CN"/>
        </w:rPr>
        <w:t>幅分别为1.41%和1.09%。</w:t>
      </w:r>
    </w:p>
    <w:p>
      <w:pPr>
        <w:widowControl/>
        <w:shd w:val="clear" w:color="auto" w:fill="FFFFFF"/>
        <w:jc w:val="both"/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表1： 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月各大区域新建商品住宅销售价格指数</w:t>
      </w:r>
      <w:r>
        <w:rPr>
          <w:rFonts w:hint="eastAsia" w:ascii="微软雅黑" w:hAnsi="微软雅黑" w:eastAsia="微软雅黑" w:cs="Tahoma"/>
          <w:color w:val="auto"/>
          <w:kern w:val="0"/>
          <w:szCs w:val="21"/>
        </w:rPr>
        <w:drawing>
          <wp:inline distT="0" distB="0" distL="114300" distR="114300">
            <wp:extent cx="5267325" cy="2001520"/>
            <wp:effectExtent l="0" t="0" r="5715" b="10160"/>
            <wp:docPr id="7" name="图片 7" descr="7月份房价指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月份房价指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ahoma"/>
          <w:color w:val="auto"/>
          <w:kern w:val="0"/>
          <w:szCs w:val="21"/>
        </w:rPr>
        <w:t>（长三角超级湾区，包含</w:t>
      </w:r>
      <w:r>
        <w:rPr>
          <w:rFonts w:hint="eastAsia" w:ascii="微软雅黑" w:hAnsi="微软雅黑" w:eastAsia="微软雅黑" w:cs="宋体"/>
          <w:color w:val="auto"/>
          <w:kern w:val="0"/>
          <w:szCs w:val="21"/>
        </w:rPr>
        <w:t>环杭州湾大湾区、环太湖区域及通州湾区域下属城市）</w:t>
      </w:r>
      <w:r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  <w:t xml:space="preserve"> </w:t>
      </w:r>
    </w:p>
    <w:p>
      <w:pPr>
        <w:widowControl/>
        <w:shd w:val="clear" w:color="auto" w:fill="FFFFFF"/>
        <w:ind w:firstLine="54"/>
        <w:jc w:val="center"/>
        <w:rPr>
          <w:rFonts w:hint="eastAsia" w:ascii="微软雅黑" w:hAnsi="微软雅黑" w:eastAsia="微软雅黑" w:cs="宋体"/>
          <w:color w:val="auto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jc w:val="left"/>
        <w:rPr>
          <w:rFonts w:hint="default" w:ascii="微软雅黑" w:hAnsi="微软雅黑" w:eastAsia="微软雅黑" w:cs="Tahoma"/>
          <w:b w:val="0"/>
          <w:bCs/>
          <w:color w:val="3D3D3D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Tahoma"/>
          <w:b/>
          <w:color w:val="auto"/>
          <w:kern w:val="0"/>
          <w:szCs w:val="21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 w:cs="Tahoma"/>
          <w:b/>
          <w:color w:val="auto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Tahoma"/>
          <w:b/>
          <w:color w:val="auto"/>
          <w:kern w:val="0"/>
          <w:szCs w:val="21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Tahoma"/>
          <w:b/>
          <w:color w:val="auto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Tahoma"/>
          <w:b/>
          <w:color w:val="auto"/>
          <w:kern w:val="0"/>
          <w:szCs w:val="21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</w:rPr>
        <w:t>月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有6个城市群房价指数呈环比上涨趋势，1个城市群房价指数和上月持平，其余7个城市群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</w:rPr>
        <w:t>房价指数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有不同程度的下降，而6月份下降的城市群为8个。下降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</w:rPr>
        <w:t>城市群中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跌幅最大的是山东半岛城市群，跌幅为-1.63%，其次是北部湾城市群，跌幅为-1.07%。此外，在呈上涨趋势的城市群中，哈长城市群和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2"/>
          <w:szCs w:val="22"/>
          <w:u w:val="none"/>
          <w:lang w:val="en-US" w:eastAsia="zh-CN" w:bidi="ar"/>
        </w:rPr>
        <w:t>粤港澳大湾区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涨幅较大，分别为1.7%和1.52%。</w:t>
      </w:r>
    </w:p>
    <w:p>
      <w:pPr>
        <w:widowControl/>
        <w:shd w:val="clear" w:color="auto" w:fill="FFFFFF"/>
        <w:jc w:val="both"/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表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： 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月各大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城市群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新建商品住宅销售价格指数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eastAsia="zh-CN"/>
        </w:rPr>
        <w:drawing>
          <wp:inline distT="0" distB="0" distL="114300" distR="114300">
            <wp:extent cx="5267325" cy="4326255"/>
            <wp:effectExtent l="0" t="0" r="5715" b="1905"/>
            <wp:docPr id="8" name="图片 8" descr="7月份房价指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月份房价指数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</w:rPr>
        <w:t>在全国29个都市圈中，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7月有15个都市圈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</w:rPr>
        <w:t>房价指数上行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，比6月减少一个，另有1个都市圈房价指数与上月持平。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</w:rPr>
        <w:t>其中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哈尔滨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2"/>
          <w:szCs w:val="22"/>
          <w:u w:val="none"/>
          <w:lang w:val="en-US" w:eastAsia="zh-CN" w:bidi="ar"/>
        </w:rPr>
        <w:t>都市圈及大连都市圈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涨幅较高，为别为2.61%、1.77%。在环比下降的13个都市圈中，降幅最大的是青岛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2"/>
          <w:szCs w:val="22"/>
          <w:u w:val="none"/>
          <w:lang w:val="en-US" w:eastAsia="zh-CN" w:bidi="ar"/>
        </w:rPr>
        <w:t>都市圈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，降幅为-2.57%，其次是西宁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2"/>
          <w:szCs w:val="22"/>
          <w:u w:val="none"/>
          <w:lang w:val="en-US" w:eastAsia="zh-CN" w:bidi="ar"/>
        </w:rPr>
        <w:t>都市圈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和南宁</w:t>
      </w:r>
      <w:r>
        <w:rPr>
          <w:rFonts w:hint="eastAsia" w:ascii="微软雅黑" w:hAnsi="微软雅黑" w:eastAsia="微软雅黑" w:cs="微软雅黑"/>
          <w:b w:val="0"/>
          <w:bCs/>
          <w:i w:val="0"/>
          <w:color w:val="auto"/>
          <w:kern w:val="0"/>
          <w:sz w:val="22"/>
          <w:szCs w:val="22"/>
          <w:u w:val="none"/>
          <w:lang w:val="en-US" w:eastAsia="zh-CN" w:bidi="ar"/>
        </w:rPr>
        <w:t>都市圈</w:t>
      </w:r>
      <w:r>
        <w:rPr>
          <w:rFonts w:hint="eastAsia" w:ascii="微软雅黑" w:hAnsi="微软雅黑" w:eastAsia="微软雅黑" w:cs="Tahoma"/>
          <w:b w:val="0"/>
          <w:bCs/>
          <w:color w:val="auto"/>
          <w:kern w:val="0"/>
          <w:szCs w:val="21"/>
          <w:shd w:val="clear" w:color="auto" w:fill="FFFFFF"/>
          <w:lang w:val="en-US" w:eastAsia="zh-CN"/>
        </w:rPr>
        <w:t>，分别为-1.69%和-1.01%。</w:t>
      </w:r>
    </w:p>
    <w:p>
      <w:pPr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微软雅黑" w:hAnsi="微软雅黑" w:eastAsia="微软雅黑" w:cs="Tahoma"/>
          <w:b w:val="0"/>
          <w:bCs/>
          <w:color w:val="3D3D3D"/>
          <w:kern w:val="0"/>
          <w:szCs w:val="21"/>
          <w:shd w:val="clear" w:color="auto" w:fill="FFFFFF"/>
          <w:lang w:val="en-US" w:eastAsia="zh-CN"/>
        </w:rPr>
      </w:pPr>
    </w:p>
    <w:p>
      <w:pPr>
        <w:bidi w:val="0"/>
        <w:ind w:firstLine="1261" w:firstLineChars="600"/>
      </w:pP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表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： 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月各大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都市圈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新建商品住宅销售价格指</w:t>
      </w:r>
      <w:r>
        <w:drawing>
          <wp:inline distT="0" distB="0" distL="114300" distR="114300">
            <wp:extent cx="5267325" cy="7795895"/>
            <wp:effectExtent l="0" t="0" r="5715" b="6985"/>
            <wp:docPr id="9" name="图片 9" descr="7月份房价指数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月份房价指数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9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</w:pPr>
    </w:p>
    <w:p>
      <w:pPr>
        <w:bidi w:val="0"/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4、</w:t>
      </w:r>
      <w:r>
        <w:rPr>
          <w:rFonts w:hint="eastAsia" w:ascii="微软雅黑" w:hAnsi="微软雅黑" w:eastAsia="微软雅黑" w:cs="Tahoma"/>
          <w:b w:val="0"/>
          <w:bCs/>
          <w:color w:val="3D3D3D"/>
          <w:kern w:val="0"/>
          <w:szCs w:val="21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Tahoma"/>
          <w:b w:val="0"/>
          <w:bCs/>
          <w:color w:val="3D3D3D"/>
          <w:kern w:val="0"/>
          <w:szCs w:val="21"/>
          <w:shd w:val="clear" w:color="auto" w:fill="FFFFFF"/>
          <w:lang w:val="en-US" w:eastAsia="zh-CN"/>
        </w:rPr>
        <w:t>月份，各等级城市中，各线城市呈现五涨一跌的现象，下跌城市为新一线城市，跌幅为-0.27%。而一线城市及四线城市涨幅最大，分别为2,14%和0.49%。</w:t>
      </w:r>
    </w:p>
    <w:p>
      <w:pPr>
        <w:bidi w:val="0"/>
        <w:ind w:firstLine="1261" w:firstLineChars="600"/>
        <w:rPr>
          <w:rFonts w:hint="eastAsia" w:ascii="微软雅黑" w:hAnsi="微软雅黑" w:eastAsia="微软雅黑" w:cs="Tahoma"/>
          <w:color w:val="000000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表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： 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月各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t>等级城市</w:t>
      </w: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</w:rPr>
        <w:t>新建商品住宅销售价格指数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Tahoma"/>
          <w:b/>
          <w:color w:val="3D3D3D"/>
          <w:kern w:val="0"/>
          <w:szCs w:val="21"/>
          <w:shd w:val="clear" w:color="auto" w:fill="FFFFFF"/>
          <w:lang w:val="en-US" w:eastAsia="zh-CN"/>
        </w:rPr>
        <w:drawing>
          <wp:inline distT="0" distB="0" distL="114300" distR="114300">
            <wp:extent cx="5267325" cy="2212340"/>
            <wp:effectExtent l="0" t="0" r="5715" b="12700"/>
            <wp:docPr id="10" name="图片 10" descr="7月份房价指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月份房价指数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rFonts w:hint="default" w:eastAsia="微软雅黑"/>
          <w:lang w:val="en-US" w:eastAsia="zh-CN"/>
        </w:rPr>
      </w:pPr>
    </w:p>
    <w:p>
      <w:pPr>
        <w:widowControl/>
        <w:jc w:val="center"/>
        <w:rPr>
          <w:rFonts w:hint="eastAsia" w:ascii="微软雅黑" w:hAnsi="微软雅黑" w:eastAsia="微软雅黑" w:cs="Tahoma"/>
          <w:color w:val="000000"/>
          <w:kern w:val="0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A00A"/>
    <w:multiLevelType w:val="singleLevel"/>
    <w:tmpl w:val="77F0A00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361A"/>
    <w:rsid w:val="07344A25"/>
    <w:rsid w:val="07653FAC"/>
    <w:rsid w:val="08C104FB"/>
    <w:rsid w:val="0ADF7F70"/>
    <w:rsid w:val="0B676F8F"/>
    <w:rsid w:val="11B44EFB"/>
    <w:rsid w:val="1A630106"/>
    <w:rsid w:val="1AE66E7B"/>
    <w:rsid w:val="1CE60A1E"/>
    <w:rsid w:val="1F090591"/>
    <w:rsid w:val="22641745"/>
    <w:rsid w:val="23057C1F"/>
    <w:rsid w:val="243D1A01"/>
    <w:rsid w:val="292A3401"/>
    <w:rsid w:val="2D2763ED"/>
    <w:rsid w:val="31492ECD"/>
    <w:rsid w:val="32322116"/>
    <w:rsid w:val="36F740B7"/>
    <w:rsid w:val="373D2D0A"/>
    <w:rsid w:val="3ABD48E3"/>
    <w:rsid w:val="3BA37D97"/>
    <w:rsid w:val="3BC04864"/>
    <w:rsid w:val="44B6259B"/>
    <w:rsid w:val="4F846F89"/>
    <w:rsid w:val="55E63DFF"/>
    <w:rsid w:val="58700B43"/>
    <w:rsid w:val="5923204D"/>
    <w:rsid w:val="5FA4093F"/>
    <w:rsid w:val="7A9C7C3E"/>
    <w:rsid w:val="7D7E220B"/>
    <w:rsid w:val="7F9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405</Words>
  <Characters>453</Characters>
  <Paragraphs>31</Paragraphs>
  <TotalTime>19</TotalTime>
  <ScaleCrop>false</ScaleCrop>
  <LinksUpToDate>false</LinksUpToDate>
  <CharactersWithSpaces>454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2019-08-01T01:53:00Z</dcterms:created>
  <dc:creator>anfle</dc:creator>
  <cp:lastModifiedBy>melody</cp:lastModifiedBy>
  <dcterms:modified xsi:type="dcterms:W3CDTF">2020-08-04T08:27:23Z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